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4F" w:rsidRPr="007D4F4F" w:rsidRDefault="007D4F4F" w:rsidP="007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0" w:name="HEADER1_BEGIN"/>
      <w:bookmarkEnd w:id="0"/>
      <w:r w:rsidRPr="007D4F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5" style="width:0;height:1.5pt" o:hralign="center" o:hrstd="t" o:hr="t" fillcolor="#a0a0a0" stroked="f"/>
        </w:pict>
      </w:r>
    </w:p>
    <w:tbl>
      <w:tblPr>
        <w:tblW w:w="44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8"/>
        <w:gridCol w:w="4139"/>
      </w:tblGrid>
      <w:tr w:rsidR="007D4F4F" w:rsidRPr="007D4F4F" w:rsidTr="007D4F4F">
        <w:trPr>
          <w:tblCellSpacing w:w="7" w:type="dxa"/>
        </w:trPr>
        <w:tc>
          <w:tcPr>
            <w:tcW w:w="2250" w:type="pct"/>
            <w:noWrap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hu-HU" w:eastAsia="hu-HU"/>
              </w:rPr>
              <w:t>Biztonságtechnikai Adatlap</w:t>
            </w:r>
          </w:p>
        </w:tc>
        <w:tc>
          <w:tcPr>
            <w:tcW w:w="2250" w:type="pct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Az Európai Közösség 1907/2006/EK rendelet II. melléklete (Art. 31) </w:t>
            </w:r>
          </w:p>
        </w:tc>
      </w:tr>
    </w:tbl>
    <w:p w:rsidR="007D4F4F" w:rsidRPr="007D4F4F" w:rsidRDefault="007D4F4F" w:rsidP="007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D4F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6" style="width:0;height:1.5pt" o:hralign="center" o:hrstd="t" o:hr="t" fillcolor="#a0a0a0" stroked="f"/>
        </w:pict>
      </w:r>
    </w:p>
    <w:tbl>
      <w:tblPr>
        <w:tblW w:w="44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2991"/>
        <w:gridCol w:w="1787"/>
        <w:gridCol w:w="2471"/>
      </w:tblGrid>
      <w:tr w:rsidR="007D4F4F" w:rsidRPr="007D4F4F" w:rsidTr="007D4F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Termék neve: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bookmarkStart w:id="1" w:name="_GoBack"/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CHAIN LUBE PRO</w:t>
            </w:r>
            <w:bookmarkEnd w:id="1"/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Felülvizsgálat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29.06.17 </w:t>
            </w:r>
            <w:proofErr w:type="gramStart"/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Version :</w:t>
            </w:r>
            <w:proofErr w:type="gramEnd"/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 1.1</w:t>
            </w:r>
          </w:p>
        </w:tc>
      </w:tr>
      <w:tr w:rsidR="007D4F4F" w:rsidRPr="007D4F4F" w:rsidTr="007D4F4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Ref. sz.:</w:t>
            </w: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BDS001863_15_20170629 (HU)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>Kibocsátás dátuma: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7D4F4F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BDS001863_20160810</w:t>
            </w:r>
          </w:p>
        </w:tc>
      </w:tr>
    </w:tbl>
    <w:p w:rsidR="007D4F4F" w:rsidRPr="007D4F4F" w:rsidRDefault="007D4F4F" w:rsidP="007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7D4F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pict>
          <v:rect id="_x0000_i1027" style="width:0;height:1.5pt" o:hralign="center" o:hrstd="t" o:hr="t" fillcolor="#a0a0a0" stroked="f"/>
        </w:pict>
      </w:r>
    </w:p>
    <w:p w:rsidR="007D4F4F" w:rsidRPr="007D4F4F" w:rsidRDefault="007D4F4F" w:rsidP="007D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bookmarkStart w:id="2" w:name="HEADER1_END"/>
      <w:bookmarkEnd w:id="2"/>
      <w:r w:rsidRPr="007D4F4F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6"/>
      </w:tblGrid>
      <w:tr w:rsidR="007D4F4F" w:rsidRPr="007D4F4F" w:rsidTr="007D4F4F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1. SZAKASZ: Az anyag/keverék és a vállalat/vállalkozás azonosítása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1.1. Termékazonosító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CHAIN LUBE PRO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1.2. Az anyag vagy keverék megfelelő azonosított felhasználása, illetve ellenjavallt felhasználása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1.3. A biztonsági adatlap szállítójának adatai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bvba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Touwslagerstraat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1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9240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Zele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Belgium 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Tel.: +32(0)52/45.60.11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Fax.: +32(0)52/45.00.34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E-mail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hse@crcind.com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3642"/>
              <w:gridCol w:w="1371"/>
              <w:gridCol w:w="1351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Leányvállalatok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Tel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Fax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Finland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Oy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Laurinkatu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57 A 23 B, 08100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Lohja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+358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/(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19)32.921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France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6,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avenue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du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marais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, C.S. 90028, 95102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Argenteuil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Cedex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01.34.11.09.96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Deutschland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GmbH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Südring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9, D-76473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Iffezheim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 303 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(07229)30 32 66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CRC INDUSTRIES IBERIA S.L.U.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GREMIO DEL CUERO-PARC.96, POLIGONO INDUSTR. DE HONTORIA, 40195 SEGOVIA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0034/921.427.546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0034/921.436.270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Sweden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Laxfiskevägen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 xml:space="preserve"> 16, 433 38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Partille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0046/31 706 84 80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0046/31 27 39 91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1.4. Sürgősségi telefonszám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CRC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Industries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Europe, Belgium</w:t>
                  </w: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 Tel.: +32(0)52/45.60.11 (Nyitvatartási időben)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Magyarország</w:t>
                  </w: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: +36 80 20 11 99 Egészségügyi Toxikológiai Tájékoztató Szolgálat (ETTSZ) Nagyvárad tér 2, 1096 Budapest 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2. SZAKASZ: A veszély meghatározása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2.1. Az anyag vagy keverék osztályozása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osztályozás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Fizikai: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aeroszolok, 1.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Rendkívül tűzveszélyes aeroszol.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edényben túlnyomás uralkodik: hő hatására megrepedhet.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tesztelésre alapozva.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Egészség: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Bőrirritáció, 2.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Besorolás számítási módszer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2.2. Címkézési elemek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Az 1272/2008/EK rendeletnek megfelelő címkézés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9"/>
              <w:gridCol w:w="1384"/>
              <w:gridCol w:w="1384"/>
              <w:gridCol w:w="1384"/>
              <w:gridCol w:w="1384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Veszélyt jelző piktogram(ok):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Kép 3" descr="http://www.crcind.com/wwwcrc/images/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rcind.com/wwwcrc/images/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Kép 2" descr="http://www.crcind.com/wwwcrc/images/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rcind.com/wwwcrc/images/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Figyelmeztetés: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Figyelmeztető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aeroszol.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229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edényben túlnyomás uralkodik: hő hatására megrepedhet.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Óvintézkedésre vonatkozó mondat(ok):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102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Gyermekektől elzárva tartandó.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Hőtől, forró felületektől, szikrától, nyílt lángtól és más gyújtóforrástól távol tartandó. Tilos a dohányzás.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211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Tilos nyílt lángra vagy más gyújtóforrásra permetezni.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251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Ne lyukassza ki vagy égesse el, még használat után sem.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Védőkesztyű/védőruha/szemvédő/arcvédő használata kötelező.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P410/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Napfénytől védendő. Nem érheti 50°C/122°F hőmérsékletet meghaladó hő.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P501-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Az anyagot/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edényzetet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engedélyezett hulladékgyűjtő helyre kell vinni.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Kiegészítő figyelmeztető információ: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2.3. Egyéb veszélyek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lastRenderedPageBreak/>
                    <w:t>3. SZAKASZ: Összetétel vagy az összetevőkre vonatkozó adatok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3.1. Anyagok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3.2. Keverékek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130"/>
              <w:gridCol w:w="580"/>
              <w:gridCol w:w="464"/>
              <w:gridCol w:w="366"/>
              <w:gridCol w:w="1392"/>
              <w:gridCol w:w="2151"/>
              <w:gridCol w:w="469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Regisztrációs 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EC-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w/w %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Veszélyességi osztály és kategória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Figyelmeztető mondat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Hydrocarbons,C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3-4-rich,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distillate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Petroleumgas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(1,3-butadiene &lt; 0.1%)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01-2119485926-20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68512-91-4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270-990-9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50-75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Nyom. alatt lévő gáz,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Tűzv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gáz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280,H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K,G</w:t>
                  </w:r>
                  <w:proofErr w:type="gram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01-2119475514-35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(921-024-6)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Flam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Liq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STOT SE 3,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Asp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Tox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225,H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315,H336,H304,H411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B,Q</w:t>
                  </w:r>
                  <w:proofErr w:type="gram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mineral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oil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(IP 346 DMSO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extract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3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%)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10-25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Phosphoric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acid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C8-16-alkyl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esters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reaction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products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with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(Z)-N-9-octadecenyl-1,3-propanediamine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90506-47-1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291-909-3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2,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Eye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Irrit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.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315,H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2,6-di-tert-butyl-p-cresol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01-2119480433-40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128-37-0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204-881-4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Acute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400,H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Polysulfides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, di-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tert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01-2119540515-43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68937-96-2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273-103-3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Skin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Sens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. 1,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317,H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Phosphoric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acid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ester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amine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salt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Aquatic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Chronic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H411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291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Megj. értelmezése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B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vegyi anyag országos előírások szerint betartandó foglalkozási expozíciós határa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G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kivételt képez az 1907/2006 sz. REACH rendelet 2(7) pontja értelmében a regisztrációs kötelezettség alól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K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karcinogén besorolás nem vonatkozik rá, 0.1 tömeg%-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nál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kisebb arányban tartalmaz 1,3-butadiént (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Einecs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-szám: 203-450-8) 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Q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A CAS szám csak egy jelző azonosító, melyet az EU országokon kívül használnak világszintű raktárkészlet nyilvántartás céljára. 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(*Figyelmeztetések magyarázata: ld. 16. Fejezet)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4. SZAKASZ: Elsősegélynyújtás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4.1. Az elsősegély-nyújtási intézkedések ismertetése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szembe kerül: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szemmel érintkezik az anyag, azonnal öblítse bő vízzel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szemirritáció nem múlik el: orvosi ellátást kell kérni.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Ha bőrrel érintkezik: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szennyezett ruhát le kell vetni és az újbóli használat előtt ki kell mosni.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BŐRRE KERÜL: Lemosás bő szappanos vízzel.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Bőrirritáció esetén: orvosi ellátást kell kérni.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Belélegzéskor: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BELÉLEGZÉS ESETÉN: Az érintett személyt friss levegőre kell vinni és olyan nyugalmi testhelyzetbe kell helyezni, hogy könnyen tudjon lélegezni.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 forduljon TOXIKOLÓGIAI KÖZPONTHOZ vagy orvoshoz.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Lenyelés esetén tilos hánytatni a beteget, mert az aspirációval a tüdőbe juthat. Ha aspiráció jelentkezik, azonnal forduljon orvoshoz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4.2. A legfontosabb – akut és késleltetett – tünetek és hatások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 gőzének nagy mértékű belélegzése hányingert, fejfájást és szédülést okozhat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torokgyulladás, hasfájás, hányinger, hányás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Tünetek: pirosság és fájdalom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4.3. A szükséges azonnali orvosi ellátás és különleges ellátás jelzése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Általános tanács: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Rosszullét esetén, forduljon orvoshoz (ha lehetséges mutassa meg a címkét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tünetek nem múlnak, forduljon orvoshoz.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5. SZAKASZ: Tűzvédelmi intézkedések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5.1. Oltóanyag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hab, karbondioxid vagy száraz oltóanyag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5.2. Az anyagból vagy a keverékből származó különleges veszélyek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 50°C feletti hőmérsékleten felrobbanhat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Veszélyes bomlástermékek keletkeznek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5.3. Tűzoltóknak szóló javaslat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az edényt tűz érte, hűtse le vízzel.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Tűz esetén nem szabad a füstöt belélegezni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6. SZAKASZ: Intézkedések véletlenszerű expozíciónál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6.1. Személyi óvintézkedések, egyéni védőeszközök és vészhelyzeti eljárások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Zárjon ki minden gyulladásra alkalmat 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adó forrást</w:t>
                  </w:r>
                  <w:proofErr w:type="gram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védőruházatot és kesztyűt kell viselni.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6.2. Környezetvédelmi óvintézkedések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Előzze meg, hogy csatornába vagy folyóba menjen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6.3. A területi elhatárolás és a szennyezésmentesítés módszerei és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anyagai</w:t>
                  </w:r>
                  <w:proofErr w:type="spellEnd"/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Kiömléskor használjon megfelelő semlegesítő anyagot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6.4. Hivatkozás más szakaszokra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További információt a 8-as bekezdésben talál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7. SZAKASZ: Kezelés és tárolás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7.1. A biztonságos kezelésre irányuló óvintézkedések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készüléket földelni kell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Robbanásbiztos elektromos/szellőztető/világító/.../berendezés használandó.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Szikramentes eszközök használandók.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aeroszolt vagy gőzt nem szabad belélegezni.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 bőrrel való érintkezést és a szembejutást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Alaposan mossa le használat után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Védőkesztyű/védőruha/szemvédő/arcvédő használata kötelező.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7.2. A biztonságos tárolás feltételei, az esetleges összeférhetetlenséggel együtt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 tartály: védje a napfénytől és ne tegye ki 50°C-ot meghaladó hőmérsékletnek.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Gyermekek kezébe nem kerülhet.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7.3. Meghatározott végfelhasználás (végfelhasználások)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Kenőanyagok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8. SZAKASZ: Az expozíció ellenőrzése/egyéni védelem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8.1. Ellenőrzési paraméterek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Expozíciós határértékek: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8.2. Az expozíció ellenőrzése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Ellenőrzési eljárások: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és gyújtóforrástól távol tartandó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Sztatikus feltöltődés ellen védekezni kell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Egyéni védelem: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Használat során tegyen óvintézkedéseket a bőrrel és szemmel való érintkezés elkerülése érdekében.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terméket minden esetben a jó ipari higiéniai gyakorlatoknak megfelelően kell kezelni és használni. 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Biztosítsa a megfelelő szellőzést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 a szellőzés elégtelen, megfelelő légzőkészüléket kell használni.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légzésvédelem: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Szerves gáz vagy gőz szűrőbetéttel felszerelt szűrővel ellátott légzőkészülék (A vagy AX típus) 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kézzel és 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védőkesztyűt kell viselni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Használjon legalább 30 perces áteresztési idővel rendelkező, többször használatos kesztyűt. A kesztyű áteresztési idejének nagyobbnak kell lennie, mint a termék teljes használati ideje. Ha a munkafolyamat tovább tart, mint az áteresztési idő, akkor a kesztyűt ki kell cserélni a munka befejezése előtt.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Javasolt kesztyű: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nitril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Védőszemüveget kell viselni szabvány szerint EN 166.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Környezeti expozíció-ellenőrzések: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Kerülni kell az anyagnak a környezetbe való kijutását.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kiömlött anyagot össze kell gyűjteni.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9. SZAKASZ: Fizikai és kémiai tulajdonságok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9.1. Az alapvető fizikai és kémiai tulajdonságokra vonatkozó információ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(hajtógáz nélküli értékek)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Megjelenési forma: fizikai állapot: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Nyomás alatt lévő folyadék.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szín: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Kék.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Oldószer.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pH érték: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Forrási pont/skála: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Gyulladási pont: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&lt; 0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°C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Párolgási sebesség: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Robbanási határok: felső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alsó robbanási határ: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Gőznyomás: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Relatív sűrűség: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0, 81 (@ 20°C).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Vízben való oldhatóság: 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Öngyulladás: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&gt; 200 °C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Viszkozitás: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elérhető.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9.2. Egyéb információk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485 g/l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lastRenderedPageBreak/>
                    <w:t>10. SZAKASZ: Stabilitás és reakciókészség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10.1. Reakciókészség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10.2. Kémiai stabilitás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Stabil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10.3. A veszélyes reakciók lehetősége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Nincsenek ismert veszélyes reakciók rendeltetésszerű használat esetén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10.4. Kerülendő körülmények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Hőhatástól óvja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10.5. Nem összeférhető anyagok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Erős oxidálószer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10.6. Veszélyes bomlástermékek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CO,CO2</w:t>
                  </w:r>
                  <w:proofErr w:type="gramEnd"/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11. SZAKASZ: Toxikológiai adatok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11.1. A toxikológiai hatásokra vonatkozó információ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akut toxicitás: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bőrkorrózió/bőrirritáció: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Bőrirritáló hatású.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5411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súlyos szemkárosodás/szemirritáció: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légzőszervi vagy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bőrszenzibilizáció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csírasejt-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mutagenitás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rákkeltő hatás: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reprodukciót károsító tulajdonság: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egyetlen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ismétlődő expozíció utáni célszervi toxicitás (STOT):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aspirációs veszély: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rendelkezésre álló adatok alapján az osztályozás kritériumai nem teljesülnek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A valószínű expozíciós útra vonatkozó információ: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Belégzéskor: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oldószeres gőzök belélegzése hányingert, fejfájást és szédülést okozhat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Lenyeléskor: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lenyelt termék kihányása után aspirációval a tüdőbe juthat. Az oldószerek kémiai tüdőgyulladást okozhatnak.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Bőrrel való érintkezéskor: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Bőrizgató hatású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Szembejutáskor: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Irritációt okozhat.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Toxikológiai adatok: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5"/>
              <w:gridCol w:w="769"/>
              <w:gridCol w:w="1867"/>
              <w:gridCol w:w="1044"/>
              <w:gridCol w:w="66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LD50 szájon át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5000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belégzésnél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25000 mg/m3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LD50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dermálisan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 patkányon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2000 mg/kg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12. SZAKASZ: Ökológiai információk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12.1. Toxicitás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 vízi környezetre veszélyes, krónikus 3.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katégoria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Ártalmas a vízi élővilágra, hosszan tartó károsodást okoz.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45" w:type="dxa"/>
                    <w:right w:w="45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Ökotoxikológiai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adat: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867"/>
              <w:gridCol w:w="1094"/>
              <w:gridCol w:w="736"/>
              <w:gridCol w:w="67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Veszélyes összetevő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CAS-szám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u-HU" w:eastAsia="hu-HU"/>
                    </w:rPr>
                    <w:t>eljárás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C0C0C0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Szénhidrogének, C6-C7, n-alkánok,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isozlkánok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cikloalkánok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, 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&lt; 5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% n-hexán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LC50 hal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&gt; 10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 xml:space="preserve">EC50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daphnia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FFCC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hu-HU" w:eastAsia="hu-HU"/>
                    </w:rPr>
                    <w:t>3 mg/l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u-HU" w:eastAsia="hu-HU"/>
                    </w:rPr>
                  </w:pP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12.2.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Perzisztencia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és lebonthatóság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12.3.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Bioakkumulációs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 xml:space="preserve"> képesség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12.4. A talajban való mobilitás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Vízben nem oldódó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 xml:space="preserve">12.5. A PBT- és a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-értékelés eredményei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adat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12.6. Egyéb káros hatások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Nincs elérhető kísérleti adat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13. SZAKASZ: Ártalmatlanítási szempontok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13.1. Hulladékkezelési módszerek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Készítmény hulladékai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Az anyagot és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edényzetét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megfelelő módon ártalmatlanítani kell.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Csatornába, vagy a környezetbe juttatni nem szabad. Az anyagot a kijelölt gyűjtőhelyre kell vinni. 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Szennyezett csomagolóanyag: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Az ártalmatlanításnak a helyi, megyei és országos törvénykezéseknek meg kell felelnie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14. SZAKASZ: Szállításra vonatkozó információk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14.1. UN-szám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UN-szám: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1950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14.2. Az ENSZ szerinti megfelelő szállítási megnevezés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Megfelelő szállítási elnevezés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AEROSZOL, tűzveszélyes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14.3. Szállítási veszélyességi osztály(ok)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2.1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Osztályozási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5F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14.4. Csomagolási csoport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Csomagolási osztály: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alkalmazandó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14.5. Környezeti veszélyek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IMDG - Tengerek szennyezését okozó anyagok: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No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Környezetre veszélyes: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14.6. A felhasználót érintő különleges óvintézkedések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ADR/RID - Alagút korlátozási kód: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(D)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IMDG -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Ems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F-D, S-U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PAX: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IATA/ICAO - CAO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203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14.7. A MARPOL II. melléklete és az IBC kódex szerinti ömlesztett szállítás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Nem alkalmazható.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15. SZAKASZ: Szabályozással kapcsolatos információk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15.1. Az adott anyaggal vagy keverékkel kapcsolatos biztonsági, egészségügyi és környezetvédelmi előírások/jogszabályok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Biztonsági adatlap eleget tesz a jelenleg hatályos európai követelményeknek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1907/2006/EK (REACH) rendelet 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1272/2008/EK rendelet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 készítmény besorolása az aeroszolos flakonokra vonatkozó 75/324/EGK rendelet 2013/10/EU, 2008/47/EK direktívája alapján történt.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Munkavédelem: a 2007. évi LXXXII. törvénnyel, a 2004. évi XI. törvénnyel és az 1997. évi CII. törvénnyel módosított 1993. évi XCIII. törvény a munkavédelemről. Kémiai biztonság: a 2004. évi XXVI. törvénnyel módosított 2000. évi XXV. törvény a kémiai biztonságról; a 38/2008 (X.3.) EüM rendelet, az 52/2007. (XI.30.) EüM, a 26/2007. (VI.7.) EüM, a 33/2004. (IV.26.)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EszCsM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, a 30/2003. (V.21.) EüM rendeletek a veszélyes anyagokkal és a veszélyes készítményekkel kapcsolatos egyes eljárások, illetve tevékenységek részletes szabályairól szóló 44/2000. (XII.27.) EüM rendelet módosításáról; az 58/2007. (XII.22.) EüM–SZMM együttes rendelete a munkahelyek kémiai biztonságáról szóló 25/2000. (IX.30.) EüM–SZCSM együttes rendelet módosításáról. Hulladék: a 2004. évi XXIX. törvénnyel módosított 2000. évi XLIII. törvény a hulladékgazdálkodásról; 98/2001.(VI.15.) Kormányrendelet a veszélyes hulladékkal kapcsolatos tevékenységek végzsének feltételeiről, és a 16/2001. (VII. 18.) KöM rendelet a hulladékok jegyzékéről; a 195/2002. (IX.6.) Kormányrendelettel módosított 94/2002. (V.5.) Kormányrendelet a csomagolásról és a csomagolási hulladék kezelésének részletes szabályairól. Tűzvédelem: az 1996. évi XXXI. törvény a tűz elleni védekezésről, a műszaki mentésről és a tűzoltóságról; a 9/2008. (II.22.) ÖTM rendelet. 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228"/>
            </w:tblGrid>
            <w:tr w:rsidR="007D4F4F" w:rsidRPr="007D4F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hu-HU" w:eastAsia="hu-HU"/>
                    </w:rPr>
                    <w:t>15.2. Kémiai biztonsági értékelés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információ nem áll rendelkezésre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5000" w:type="pct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8"/>
            </w:tblGrid>
            <w:tr w:rsidR="007D4F4F" w:rsidRPr="007D4F4F">
              <w:tc>
                <w:tcPr>
                  <w:tcW w:w="5000" w:type="pct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FDFD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u-HU" w:eastAsia="hu-HU"/>
                    </w:rPr>
                    <w:t>16. SZAKASZ: Egyéb információk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*Figyelmeztető mondat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- : -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Rendkívül tűzveszélyes gáz.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225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Fokozottan tűzveszélyes folyadék és gőz.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280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Nyomás alatt lévő gázt tartalmaz; hő hatására robbanhat.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304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Lenyelve és a légutakba kerülve halálos lehet.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315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Bőrirritáló hatású.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317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Allergiás bőrreakciót válthat ki.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lastRenderedPageBreak/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319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Súlyos szemirritációt okoz.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336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Álmosságot vagy szédülést okozhat.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400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410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Nagyon mérgező a vízi élővilágra, hosszan tartó károsodást okoz.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411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Mérgező a vízi élővilágra, hosszan tartó károsodást okoz.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H</w:t>
                  </w:r>
                  <w:proofErr w:type="gram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412 :</w:t>
                  </w:r>
                  <w:proofErr w:type="gram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Ártalmas a vízi élővilágra, hosszan tartó károsodást okoz.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5809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acronyms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and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synonyms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: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TWA =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weight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average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STEL =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short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time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exposure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limit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VOC:</w:t>
                  </w:r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PBT =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persistant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toxic</w:t>
                  </w:r>
                  <w:proofErr w:type="spellEnd"/>
                </w:p>
              </w:tc>
            </w:tr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dotted" w:sz="6" w:space="0" w:color="C0C0C0"/>
                    <w:bottom w:val="dotted" w:sz="6" w:space="0" w:color="C0C0C0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vPvB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=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persitant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very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bioaccumulative</w:t>
                  </w:r>
                  <w:proofErr w:type="spellEnd"/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Ezt a terméket a helyes ipari higiéniai gyakorlatoknak és mindenféle jogi előírásnak megfelelően kell tárolni, kezelni és használni. Az itt közölt információk a jelenlegi tudásunkon alapulnak és termékeinket a biztonsági szempontok figyelembe vételével írják le. Ez nem garantál semmiféle különleges tulajdonságot. A tanulmányok, a kutatás és az egészségügyi, biztonsági, valamint környezetvédelmi kockázatok </w:t>
                  </w:r>
                  <w:proofErr w:type="spellStart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céljáira</w:t>
                  </w:r>
                  <w:proofErr w:type="spellEnd"/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 xml:space="preserve"> történő jogos felhasználást kivéve, az alábbi dokumentumnak egyik részét sem szabad a CRC írásbeli engedélye nélkül bármiféle eljárással reprodukálni.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  <w:t> </w:t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hu-HU" w:eastAsia="hu-HU"/>
              </w:rPr>
            </w:pPr>
          </w:p>
          <w:tbl>
            <w:tblPr>
              <w:tblW w:w="45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5"/>
            </w:tblGrid>
            <w:tr w:rsidR="007D4F4F" w:rsidRPr="007D4F4F">
              <w:trPr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D4F4F" w:rsidRPr="007D4F4F" w:rsidRDefault="007D4F4F" w:rsidP="007D4F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hu-HU" w:eastAsia="hu-HU"/>
                    </w:rPr>
                  </w:pPr>
                  <w:r w:rsidRPr="007D4F4F">
                    <w:rPr>
                      <w:rFonts w:ascii="Arial" w:eastAsia="Times New Roman" w:hAnsi="Arial" w:cs="Arial"/>
                      <w:noProof/>
                      <w:color w:val="0000FF"/>
                      <w:sz w:val="20"/>
                      <w:szCs w:val="20"/>
                      <w:lang w:val="hu-HU" w:eastAsia="hu-HU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Kép 1" descr="http://www.crcind.com/wwwcrc/images/pdf.gif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crcind.com/wwwcrc/images/pdf.gif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D4F4F" w:rsidRPr="007D4F4F" w:rsidRDefault="007D4F4F" w:rsidP="007D4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F672A3" w:rsidRDefault="00F672A3"/>
    <w:sectPr w:rsidR="00F67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4F"/>
    <w:rsid w:val="003F6DC6"/>
    <w:rsid w:val="007D4F4F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94370-D587-4603-948D-783C11A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7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blue">
    <w:name w:val="blue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val="hu-HU" w:eastAsia="hu-HU"/>
    </w:rPr>
  </w:style>
  <w:style w:type="paragraph" w:customStyle="1" w:styleId="bluelink">
    <w:name w:val="bluelink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luenormal">
    <w:name w:val="bluenormal"/>
    <w:basedOn w:val="Norml"/>
    <w:rsid w:val="007D4F4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bluesmall">
    <w:name w:val="bluesmall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bold">
    <w:name w:val="bold"/>
    <w:basedOn w:val="Norml"/>
    <w:rsid w:val="007D4F4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bolddrkgry">
    <w:name w:val="bolddrkgry"/>
    <w:basedOn w:val="Norml"/>
    <w:rsid w:val="007D4F4F"/>
    <w:pPr>
      <w:shd w:val="clear" w:color="auto" w:fill="9999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boldgroot">
    <w:name w:val="boldgroot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u w:val="single"/>
      <w:lang w:val="hu-HU" w:eastAsia="hu-HU"/>
    </w:rPr>
  </w:style>
  <w:style w:type="paragraph" w:customStyle="1" w:styleId="boldschuin">
    <w:name w:val="boldschuin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content">
    <w:name w:val="content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hu-HU" w:eastAsia="hu-HU"/>
    </w:rPr>
  </w:style>
  <w:style w:type="paragraph" w:customStyle="1" w:styleId="contentgroen">
    <w:name w:val="contentgroen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green">
    <w:name w:val="green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CC00"/>
      <w:sz w:val="18"/>
      <w:szCs w:val="18"/>
      <w:lang w:val="hu-HU" w:eastAsia="hu-HU"/>
    </w:rPr>
  </w:style>
  <w:style w:type="paragraph" w:customStyle="1" w:styleId="groenunderline">
    <w:name w:val="groenunderline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u w:val="single"/>
      <w:lang w:val="hu-HU" w:eastAsia="hu-HU"/>
    </w:rPr>
  </w:style>
  <w:style w:type="paragraph" w:customStyle="1" w:styleId="input">
    <w:name w:val="input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hu-HU" w:eastAsia="hu-HU"/>
    </w:rPr>
  </w:style>
  <w:style w:type="paragraph" w:customStyle="1" w:styleId="inputbold">
    <w:name w:val="inputbold"/>
    <w:basedOn w:val="Norml"/>
    <w:rsid w:val="007D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link">
    <w:name w:val="link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7"/>
      <w:szCs w:val="17"/>
      <w:lang w:val="hu-HU" w:eastAsia="hu-HU"/>
    </w:rPr>
  </w:style>
  <w:style w:type="paragraph" w:customStyle="1" w:styleId="linkbold">
    <w:name w:val="linkbold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17"/>
      <w:szCs w:val="17"/>
      <w:lang w:val="hu-HU" w:eastAsia="hu-HU"/>
    </w:rPr>
  </w:style>
  <w:style w:type="paragraph" w:customStyle="1" w:styleId="linkgrijs">
    <w:name w:val="linkgrijs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color w:val="999999"/>
      <w:sz w:val="17"/>
      <w:szCs w:val="17"/>
      <w:u w:val="single"/>
      <w:lang w:val="hu-HU" w:eastAsia="hu-HU"/>
    </w:rPr>
  </w:style>
  <w:style w:type="paragraph" w:customStyle="1" w:styleId="linkgrijsbold">
    <w:name w:val="linkgrijsbold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7"/>
      <w:szCs w:val="17"/>
      <w:u w:val="single"/>
      <w:lang w:val="hu-HU" w:eastAsia="hu-HU"/>
    </w:rPr>
  </w:style>
  <w:style w:type="paragraph" w:customStyle="1" w:styleId="menu">
    <w:name w:val="menu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u-HU" w:eastAsia="hu-HU"/>
    </w:rPr>
  </w:style>
  <w:style w:type="paragraph" w:customStyle="1" w:styleId="menubld">
    <w:name w:val="menubld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menubold">
    <w:name w:val="menubold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menuhd">
    <w:name w:val="menuhd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8"/>
      <w:szCs w:val="28"/>
      <w:lang w:val="hu-HU" w:eastAsia="hu-HU"/>
    </w:rPr>
  </w:style>
  <w:style w:type="paragraph" w:customStyle="1" w:styleId="normal">
    <w:name w:val="normal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u-HU" w:eastAsia="hu-HU"/>
    </w:rPr>
  </w:style>
  <w:style w:type="paragraph" w:customStyle="1" w:styleId="pagehd">
    <w:name w:val="pagehd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32"/>
      <w:szCs w:val="32"/>
      <w:lang w:val="hu-HU" w:eastAsia="hu-HU"/>
    </w:rPr>
  </w:style>
  <w:style w:type="paragraph" w:customStyle="1" w:styleId="readonly">
    <w:name w:val="readonly"/>
    <w:basedOn w:val="Norml"/>
    <w:rsid w:val="007D4F4F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red">
    <w:name w:val="red"/>
    <w:basedOn w:val="Norml"/>
    <w:rsid w:val="007D4F4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val="hu-HU" w:eastAsia="hu-HU"/>
    </w:rPr>
  </w:style>
  <w:style w:type="paragraph" w:customStyle="1" w:styleId="redbig">
    <w:name w:val="redbig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val="hu-HU" w:eastAsia="hu-HU"/>
    </w:rPr>
  </w:style>
  <w:style w:type="paragraph" w:customStyle="1" w:styleId="redline">
    <w:name w:val="redline"/>
    <w:basedOn w:val="Norml"/>
    <w:rsid w:val="007D4F4F"/>
    <w:pPr>
      <w:spacing w:before="100" w:beforeAutospacing="1" w:after="100" w:afterAutospacing="1" w:line="45" w:lineRule="atLeast"/>
    </w:pPr>
    <w:rPr>
      <w:rFonts w:ascii="Times New Roman" w:eastAsia="Times New Roman" w:hAnsi="Times New Roman" w:cs="Times New Roman"/>
      <w:color w:val="FF0000"/>
      <w:sz w:val="24"/>
      <w:szCs w:val="24"/>
      <w:lang w:val="hu-HU" w:eastAsia="hu-HU"/>
    </w:rPr>
  </w:style>
  <w:style w:type="paragraph" w:customStyle="1" w:styleId="redtabhd">
    <w:name w:val="redtabhd"/>
    <w:basedOn w:val="Norml"/>
    <w:rsid w:val="007D4F4F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val="hu-HU" w:eastAsia="hu-HU"/>
    </w:rPr>
  </w:style>
  <w:style w:type="paragraph" w:customStyle="1" w:styleId="remark">
    <w:name w:val="remark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ret">
    <w:name w:val="ret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hu-HU" w:eastAsia="hu-HU"/>
    </w:rPr>
  </w:style>
  <w:style w:type="paragraph" w:customStyle="1" w:styleId="small">
    <w:name w:val="small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aref">
    <w:name w:val="smallaref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i/>
      <w:iCs/>
      <w:color w:val="000000"/>
      <w:sz w:val="18"/>
      <w:szCs w:val="18"/>
      <w:u w:val="single"/>
      <w:lang w:val="hu-HU" w:eastAsia="hu-HU"/>
    </w:rPr>
  </w:style>
  <w:style w:type="paragraph" w:customStyle="1" w:styleId="smallbold">
    <w:name w:val="smallbold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boldgreen">
    <w:name w:val="smallboldgreen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hu-HU" w:eastAsia="hu-HU"/>
    </w:rPr>
  </w:style>
  <w:style w:type="paragraph" w:customStyle="1" w:styleId="smallgr">
    <w:name w:val="smallgr"/>
    <w:basedOn w:val="Norml"/>
    <w:rsid w:val="007D4F4F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grbold">
    <w:name w:val="smallgrbold"/>
    <w:basedOn w:val="Norml"/>
    <w:rsid w:val="007D4F4F"/>
    <w:pPr>
      <w:shd w:val="clear" w:color="auto" w:fill="DDDDD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hu-HU" w:eastAsia="hu-HU"/>
    </w:rPr>
  </w:style>
  <w:style w:type="paragraph" w:customStyle="1" w:styleId="smallink">
    <w:name w:val="smallink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00"/>
      <w:sz w:val="14"/>
      <w:szCs w:val="14"/>
      <w:lang w:val="hu-HU" w:eastAsia="hu-HU"/>
    </w:rPr>
  </w:style>
  <w:style w:type="paragraph" w:customStyle="1" w:styleId="smalllcou">
    <w:name w:val="smalllcou"/>
    <w:basedOn w:val="Norml"/>
    <w:rsid w:val="007D4F4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8"/>
      <w:szCs w:val="18"/>
      <w:lang w:val="hu-HU" w:eastAsia="hu-HU"/>
    </w:rPr>
  </w:style>
  <w:style w:type="paragraph" w:customStyle="1" w:styleId="smallleft">
    <w:name w:val="smallleft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smalllinkgrijs">
    <w:name w:val="smalllinkgrijs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  <w:lang w:val="hu-HU" w:eastAsia="hu-HU"/>
    </w:rPr>
  </w:style>
  <w:style w:type="paragraph" w:customStyle="1" w:styleId="smallright">
    <w:name w:val="smallright"/>
    <w:basedOn w:val="Norml"/>
    <w:rsid w:val="007D4F4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val="hu-HU" w:eastAsia="hu-HU"/>
    </w:rPr>
  </w:style>
  <w:style w:type="paragraph" w:customStyle="1" w:styleId="tablehd">
    <w:name w:val="tablehd"/>
    <w:basedOn w:val="Norml"/>
    <w:rsid w:val="007D4F4F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val="hu-HU" w:eastAsia="hu-HU"/>
    </w:rPr>
  </w:style>
  <w:style w:type="paragraph" w:customStyle="1" w:styleId="tablehdb">
    <w:name w:val="tablehdb"/>
    <w:basedOn w:val="Norml"/>
    <w:rsid w:val="007D4F4F"/>
    <w:pPr>
      <w:shd w:val="clear" w:color="auto" w:fill="00FF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lang w:val="hu-HU" w:eastAsia="hu-HU"/>
    </w:rPr>
  </w:style>
  <w:style w:type="paragraph" w:customStyle="1" w:styleId="tablehddg">
    <w:name w:val="tablehddg"/>
    <w:basedOn w:val="Norml"/>
    <w:rsid w:val="007D4F4F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4"/>
      <w:szCs w:val="24"/>
      <w:lang w:val="hu-HU" w:eastAsia="hu-HU"/>
    </w:rPr>
  </w:style>
  <w:style w:type="paragraph" w:customStyle="1" w:styleId="tbhdsm">
    <w:name w:val="tbhdsm"/>
    <w:basedOn w:val="Norml"/>
    <w:rsid w:val="007D4F4F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  <w:lang w:val="hu-HU" w:eastAsia="hu-HU"/>
    </w:rPr>
  </w:style>
  <w:style w:type="paragraph" w:customStyle="1" w:styleId="tblright">
    <w:name w:val="tblright"/>
    <w:basedOn w:val="Norml"/>
    <w:rsid w:val="007D4F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paragraph" w:customStyle="1" w:styleId="titel">
    <w:name w:val="titel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hu-HU" w:eastAsia="hu-HU"/>
    </w:rPr>
  </w:style>
  <w:style w:type="paragraph" w:customStyle="1" w:styleId="titelgroot">
    <w:name w:val="titelgroot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hu-HU" w:eastAsia="hu-HU"/>
    </w:rPr>
  </w:style>
  <w:style w:type="paragraph" w:customStyle="1" w:styleId="titelgrootgroen">
    <w:name w:val="titelgrootgroen"/>
    <w:basedOn w:val="Norml"/>
    <w:rsid w:val="007D4F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00"/>
      <w:sz w:val="24"/>
      <w:szCs w:val="24"/>
      <w:lang w:val="hu-HU" w:eastAsia="hu-HU"/>
    </w:rPr>
  </w:style>
  <w:style w:type="paragraph" w:customStyle="1" w:styleId="welcome">
    <w:name w:val="welcome"/>
    <w:basedOn w:val="Norml"/>
    <w:rsid w:val="007D4F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u-HU" w:eastAsia="hu-HU"/>
    </w:rPr>
  </w:style>
  <w:style w:type="paragraph" w:customStyle="1" w:styleId="ita">
    <w:name w:val="ita"/>
    <w:basedOn w:val="Norml"/>
    <w:rsid w:val="007D4F4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990099"/>
      <w:sz w:val="20"/>
      <w:szCs w:val="20"/>
      <w:lang w:val="hu-HU" w:eastAsia="hu-HU"/>
    </w:rPr>
  </w:style>
  <w:style w:type="paragraph" w:customStyle="1" w:styleId="litle">
    <w:name w:val="litle"/>
    <w:basedOn w:val="Norml"/>
    <w:rsid w:val="007D4F4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litlem">
    <w:name w:val="litlem"/>
    <w:basedOn w:val="Norml"/>
    <w:rsid w:val="007D4F4F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hu-HU" w:eastAsia="hu-HU"/>
    </w:rPr>
  </w:style>
  <w:style w:type="paragraph" w:customStyle="1" w:styleId="nor">
    <w:name w:val="nor"/>
    <w:basedOn w:val="Norml"/>
    <w:rsid w:val="007D4F4F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norm">
    <w:name w:val="norm"/>
    <w:basedOn w:val="Norml"/>
    <w:rsid w:val="007D4F4F"/>
    <w:pPr>
      <w:shd w:val="clear" w:color="auto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hu-HU" w:eastAsia="hu-HU"/>
    </w:rPr>
  </w:style>
  <w:style w:type="paragraph" w:customStyle="1" w:styleId="par">
    <w:name w:val="par"/>
    <w:basedOn w:val="Norml"/>
    <w:rsid w:val="007D4F4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parm">
    <w:name w:val="parm"/>
    <w:basedOn w:val="Norml"/>
    <w:rsid w:val="007D4F4F"/>
    <w:pPr>
      <w:shd w:val="clear" w:color="auto" w:fill="99CC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subtitle">
    <w:name w:val="subtitle"/>
    <w:basedOn w:val="Norml"/>
    <w:rsid w:val="007D4F4F"/>
    <w:pP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hu-HU" w:eastAsia="hu-HU"/>
    </w:rPr>
  </w:style>
  <w:style w:type="paragraph" w:customStyle="1" w:styleId="title">
    <w:name w:val="title"/>
    <w:basedOn w:val="Norml"/>
    <w:rsid w:val="007D4F4F"/>
    <w:pPr>
      <w:keepNext/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DFDFD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4F4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4F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ceurope.com/csp/web/msds.csp?document=BDS001863_15_1_20170629_%20&amp;idx=2840449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2268</Words>
  <Characters>15654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Ujvári Ferenc</dc:creator>
  <cp:keywords/>
  <dc:description/>
  <cp:lastModifiedBy>Ujvári Ferenc</cp:lastModifiedBy>
  <cp:revision>1</cp:revision>
  <dcterms:created xsi:type="dcterms:W3CDTF">2017-10-17T13:03:00Z</dcterms:created>
  <dcterms:modified xsi:type="dcterms:W3CDTF">2017-10-17T13:04:00Z</dcterms:modified>
</cp:coreProperties>
</file>